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AF93" w14:textId="77777777" w:rsidR="00166277" w:rsidRDefault="00166277"/>
    <w:p w14:paraId="57FEA4A5" w14:textId="77777777" w:rsidR="00166277" w:rsidRDefault="00166277" w:rsidP="00166277">
      <w:pPr>
        <w:jc w:val="center"/>
        <w:rPr>
          <w:b/>
          <w:sz w:val="28"/>
          <w:szCs w:val="28"/>
          <w:vertAlign w:val="subscript"/>
        </w:rPr>
      </w:pPr>
      <w:r>
        <w:rPr>
          <w:b/>
          <w:sz w:val="28"/>
          <w:szCs w:val="28"/>
        </w:rPr>
        <w:t>Density functional study of phonon-induced photocarrier capture in defective MoSe</w:t>
      </w:r>
      <w:r w:rsidRPr="000179A9">
        <w:rPr>
          <w:b/>
          <w:sz w:val="28"/>
          <w:szCs w:val="28"/>
          <w:vertAlign w:val="subscript"/>
        </w:rPr>
        <w:t>2</w:t>
      </w:r>
      <w:r>
        <w:rPr>
          <w:b/>
          <w:sz w:val="28"/>
          <w:szCs w:val="28"/>
          <w:vertAlign w:val="subscript"/>
        </w:rPr>
        <w:t xml:space="preserve"> </w:t>
      </w:r>
    </w:p>
    <w:p w14:paraId="5EFF2CB9" w14:textId="77777777" w:rsidR="00166277" w:rsidRPr="00166277" w:rsidRDefault="00166277" w:rsidP="00166277">
      <w:pPr>
        <w:rPr>
          <w:sz w:val="24"/>
          <w:lang w:eastAsia="ko-KR"/>
        </w:rPr>
      </w:pPr>
    </w:p>
    <w:p w14:paraId="7E63ACCA" w14:textId="77777777" w:rsidR="00166277" w:rsidRPr="00166277" w:rsidRDefault="00166277" w:rsidP="00166277">
      <w:pPr>
        <w:jc w:val="center"/>
        <w:rPr>
          <w:sz w:val="24"/>
          <w:lang w:eastAsia="ko-KR"/>
        </w:rPr>
      </w:pPr>
      <w:r w:rsidRPr="00166277">
        <w:rPr>
          <w:sz w:val="24"/>
          <w:u w:val="single"/>
          <w:lang w:eastAsia="ko-KR"/>
        </w:rPr>
        <w:t>Soungmin Bae</w:t>
      </w:r>
      <w:r w:rsidRPr="00BA6050">
        <w:rPr>
          <w:sz w:val="24"/>
          <w:vertAlign w:val="superscript"/>
          <w:lang w:eastAsia="ko-KR"/>
        </w:rPr>
        <w:t>1</w:t>
      </w:r>
      <w:r w:rsidRPr="00BA6050">
        <w:rPr>
          <w:sz w:val="24"/>
          <w:lang w:eastAsia="ko-KR"/>
        </w:rPr>
        <w:t xml:space="preserve"> </w:t>
      </w:r>
      <w:r w:rsidRPr="00166277">
        <w:rPr>
          <w:sz w:val="24"/>
          <w:lang w:eastAsia="ko-KR"/>
        </w:rPr>
        <w:t>and Yong-Hoon Kim</w:t>
      </w:r>
      <w:r w:rsidRPr="00166277">
        <w:rPr>
          <w:sz w:val="24"/>
          <w:vertAlign w:val="superscript"/>
          <w:lang w:eastAsia="ko-KR"/>
        </w:rPr>
        <w:t>1,</w:t>
      </w:r>
      <w:r w:rsidRPr="00166277">
        <w:rPr>
          <w:sz w:val="24"/>
          <w:vertAlign w:val="superscript"/>
        </w:rPr>
        <w:t>*</w:t>
      </w:r>
    </w:p>
    <w:p w14:paraId="50E8BDB0" w14:textId="77777777" w:rsidR="00166277" w:rsidRPr="00283FE2" w:rsidRDefault="00166277" w:rsidP="00166277">
      <w:pPr>
        <w:tabs>
          <w:tab w:val="left" w:pos="5451"/>
        </w:tabs>
        <w:jc w:val="left"/>
        <w:rPr>
          <w:lang w:eastAsia="ko-KR"/>
        </w:rPr>
      </w:pPr>
      <w:r>
        <w:rPr>
          <w:lang w:eastAsia="ko-KR"/>
        </w:rPr>
        <w:tab/>
      </w:r>
    </w:p>
    <w:p w14:paraId="0BC1EFF8" w14:textId="77777777" w:rsidR="00166277" w:rsidRDefault="00166277" w:rsidP="00166277">
      <w:pPr>
        <w:pStyle w:val="ab"/>
        <w:ind w:leftChars="0" w:left="360"/>
        <w:jc w:val="center"/>
        <w:rPr>
          <w:rFonts w:ascii="Times New Roman" w:eastAsia="맑은 고딕" w:hAnsi="Times New Roman"/>
          <w:i/>
        </w:rPr>
      </w:pPr>
      <w:r w:rsidRPr="00166277">
        <w:rPr>
          <w:rFonts w:ascii="Times New Roman" w:eastAsia="맑은 고딕" w:hAnsi="Times New Roman"/>
          <w:i/>
        </w:rPr>
        <w:t xml:space="preserve">Graduate School of Energy, Environment, Water, and Sustainability, Korea Advanced Institute of </w:t>
      </w:r>
      <w:proofErr w:type="spellStart"/>
      <w:r w:rsidRPr="00166277">
        <w:rPr>
          <w:rFonts w:ascii="Times New Roman" w:eastAsia="맑은 고딕" w:hAnsi="Times New Roman"/>
          <w:i/>
        </w:rPr>
        <w:t>Scence</w:t>
      </w:r>
      <w:proofErr w:type="spellEnd"/>
      <w:r w:rsidRPr="00166277">
        <w:rPr>
          <w:rFonts w:ascii="Times New Roman" w:eastAsia="맑은 고딕" w:hAnsi="Times New Roman"/>
          <w:i/>
        </w:rPr>
        <w:t xml:space="preserve"> and Technology</w:t>
      </w:r>
      <w:r>
        <w:rPr>
          <w:rFonts w:ascii="Times New Roman" w:eastAsia="맑은 고딕" w:hAnsi="Times New Roman"/>
          <w:i/>
        </w:rPr>
        <w:t xml:space="preserve"> (KAIST)</w:t>
      </w:r>
      <w:r w:rsidRPr="00166277">
        <w:rPr>
          <w:rFonts w:ascii="Times New Roman" w:eastAsia="맑은 고딕" w:hAnsi="Times New Roman"/>
          <w:i/>
        </w:rPr>
        <w:t xml:space="preserve">, </w:t>
      </w:r>
    </w:p>
    <w:p w14:paraId="2A1FA735" w14:textId="77777777" w:rsidR="00166277" w:rsidRPr="00166277" w:rsidRDefault="00166277" w:rsidP="00166277">
      <w:pPr>
        <w:pStyle w:val="ab"/>
        <w:ind w:leftChars="0" w:left="360"/>
        <w:jc w:val="center"/>
        <w:rPr>
          <w:rFonts w:ascii="Times New Roman" w:eastAsia="맑은 고딕" w:hAnsi="Times New Roman"/>
          <w:i/>
        </w:rPr>
      </w:pPr>
      <w:r w:rsidRPr="00166277">
        <w:rPr>
          <w:rFonts w:ascii="Times New Roman" w:eastAsia="맑은 고딕" w:hAnsi="Times New Roman"/>
          <w:i/>
        </w:rPr>
        <w:t xml:space="preserve">291 </w:t>
      </w:r>
      <w:proofErr w:type="spellStart"/>
      <w:r w:rsidRPr="00166277">
        <w:rPr>
          <w:rFonts w:ascii="Times New Roman" w:eastAsia="맑은 고딕" w:hAnsi="Times New Roman"/>
          <w:i/>
        </w:rPr>
        <w:t>Daehak-ro</w:t>
      </w:r>
      <w:proofErr w:type="spellEnd"/>
      <w:r w:rsidRPr="00166277">
        <w:rPr>
          <w:rFonts w:ascii="Times New Roman" w:eastAsia="맑은 고딕" w:hAnsi="Times New Roman"/>
          <w:i/>
        </w:rPr>
        <w:t xml:space="preserve">, </w:t>
      </w:r>
      <w:proofErr w:type="spellStart"/>
      <w:r w:rsidRPr="00166277">
        <w:rPr>
          <w:rFonts w:ascii="Times New Roman" w:eastAsia="맑은 고딕" w:hAnsi="Times New Roman"/>
          <w:i/>
        </w:rPr>
        <w:t>Yuseong-gu</w:t>
      </w:r>
      <w:proofErr w:type="spellEnd"/>
      <w:r w:rsidRPr="00166277">
        <w:rPr>
          <w:rFonts w:ascii="Times New Roman" w:eastAsia="맑은 고딕" w:hAnsi="Times New Roman"/>
          <w:i/>
        </w:rPr>
        <w:t>, Daejeon 305-701, Korea</w:t>
      </w:r>
    </w:p>
    <w:p w14:paraId="1B5E52E1" w14:textId="77777777" w:rsidR="00166277" w:rsidRDefault="00166277" w:rsidP="00166277">
      <w:pPr>
        <w:pStyle w:val="TAMainText"/>
        <w:spacing w:line="360" w:lineRule="auto"/>
        <w:ind w:firstLine="0"/>
        <w:jc w:val="center"/>
        <w:rPr>
          <w:rFonts w:ascii="Times New Roman" w:eastAsia="맑은 고딕" w:hAnsi="Times New Roman"/>
          <w:szCs w:val="24"/>
        </w:rPr>
      </w:pPr>
      <w:r w:rsidRPr="00EB6D96">
        <w:rPr>
          <w:rFonts w:ascii="Times New Roman" w:eastAsia="맑은 고딕" w:hAnsi="Times New Roman"/>
          <w:szCs w:val="24"/>
          <w:vertAlign w:val="superscript"/>
        </w:rPr>
        <w:t>*</w:t>
      </w:r>
      <w:r w:rsidRPr="00EB6D96">
        <w:rPr>
          <w:rFonts w:ascii="Times New Roman" w:eastAsia="맑은 고딕" w:hAnsi="Times New Roman"/>
          <w:szCs w:val="24"/>
        </w:rPr>
        <w:t xml:space="preserve">E-mail address: </w:t>
      </w:r>
      <w:hyperlink r:id="rId7" w:history="1">
        <w:r>
          <w:rPr>
            <w:rStyle w:val="a9"/>
            <w:rFonts w:ascii="Times New Roman" w:eastAsia="맑은 고딕" w:hAnsi="Times New Roman"/>
            <w:szCs w:val="24"/>
          </w:rPr>
          <w:t>y.h.kim</w:t>
        </w:r>
        <w:r w:rsidRPr="001C59BF">
          <w:rPr>
            <w:rStyle w:val="a9"/>
            <w:rFonts w:ascii="Times New Roman" w:eastAsia="맑은 고딕" w:hAnsi="Times New Roman"/>
            <w:szCs w:val="24"/>
          </w:rPr>
          <w:t>@kaist.ac.kr</w:t>
        </w:r>
      </w:hyperlink>
    </w:p>
    <w:p w14:paraId="0C9E452D" w14:textId="77777777" w:rsidR="00166277" w:rsidRDefault="00166277" w:rsidP="00166277">
      <w:pPr>
        <w:pStyle w:val="TAMainText"/>
        <w:spacing w:line="360" w:lineRule="auto"/>
        <w:ind w:firstLine="0"/>
        <w:jc w:val="center"/>
        <w:rPr>
          <w:rFonts w:ascii="Times New Roman" w:eastAsia="맑은 고딕" w:hAnsi="Times New Roman"/>
          <w:b/>
          <w:szCs w:val="24"/>
        </w:rPr>
      </w:pPr>
      <w:r w:rsidRPr="00F03C67">
        <w:rPr>
          <w:rFonts w:ascii="Times New Roman" w:eastAsia="맑은 고딕" w:hAnsi="Times New Roman"/>
          <w:b/>
          <w:szCs w:val="24"/>
        </w:rPr>
        <w:t>ABSTRACT</w:t>
      </w:r>
    </w:p>
    <w:p w14:paraId="2ED0951B" w14:textId="77777777" w:rsidR="00166277" w:rsidRPr="00166277" w:rsidRDefault="00166277" w:rsidP="00166277">
      <w:pPr>
        <w:spacing w:after="100" w:afterAutospacing="1" w:line="340" w:lineRule="exact"/>
        <w:rPr>
          <w:color w:val="1A1718"/>
          <w:sz w:val="24"/>
          <w:szCs w:val="24"/>
        </w:rPr>
      </w:pPr>
      <w:r w:rsidRPr="00166277">
        <w:rPr>
          <w:color w:val="1A1718"/>
          <w:sz w:val="24"/>
          <w:szCs w:val="24"/>
        </w:rPr>
        <w:t xml:space="preserve"> In recent years, optical electronic excitations and photocarrier dynamics in transition metal dichalcogenides (TMDCs) have been actively investigated in view of understanding photophysics in atomically thin materials and their optical device applications. According to recent studies on pristine TMDCs, acoustic phonons are involved in exciton generation and electron coolin</w:t>
      </w:r>
      <w:bookmarkStart w:id="0" w:name="_GoBack"/>
      <w:bookmarkEnd w:id="0"/>
      <w:r w:rsidRPr="00166277">
        <w:rPr>
          <w:color w:val="1A1718"/>
          <w:sz w:val="24"/>
          <w:szCs w:val="24"/>
        </w:rPr>
        <w:t>g processes [1,2]. In practical situations, TMDC samples usually contain a certain amount of defects and adsorbates, which act as ultrafast photocarrier trapping centers [3,4]. Meanwhile, although the exciton-phonon interaction in pristine TMDC is relatively</w:t>
      </w:r>
      <w:r w:rsidRPr="00166277">
        <w:rPr>
          <w:sz w:val="24"/>
          <w:szCs w:val="24"/>
        </w:rPr>
        <w:t xml:space="preserve"> </w:t>
      </w:r>
      <w:r w:rsidRPr="00166277">
        <w:rPr>
          <w:color w:val="1A1718"/>
          <w:sz w:val="24"/>
          <w:szCs w:val="24"/>
        </w:rPr>
        <w:t xml:space="preserve">well studied, defect-related photocarrier trappings remain vague. </w:t>
      </w:r>
    </w:p>
    <w:p w14:paraId="12F50AC6" w14:textId="77777777" w:rsidR="00166277" w:rsidRPr="00166277" w:rsidRDefault="00166277" w:rsidP="00166277">
      <w:pPr>
        <w:spacing w:after="100" w:afterAutospacing="1" w:line="340" w:lineRule="exact"/>
        <w:rPr>
          <w:color w:val="1A1718"/>
          <w:sz w:val="24"/>
          <w:szCs w:val="24"/>
        </w:rPr>
      </w:pPr>
      <w:r w:rsidRPr="00166277">
        <w:rPr>
          <w:color w:val="1A1718"/>
          <w:sz w:val="24"/>
          <w:szCs w:val="24"/>
        </w:rPr>
        <w:t xml:space="preserve"> Here, we present our theoretical study of defect-induced photocarrier capture in MoSe</w:t>
      </w:r>
      <w:r w:rsidRPr="00166277">
        <w:rPr>
          <w:color w:val="1A1718"/>
          <w:sz w:val="24"/>
          <w:szCs w:val="24"/>
          <w:vertAlign w:val="subscript"/>
        </w:rPr>
        <w:t>2</w:t>
      </w:r>
      <w:r w:rsidRPr="00166277">
        <w:rPr>
          <w:color w:val="1A1718"/>
          <w:sz w:val="24"/>
          <w:szCs w:val="24"/>
        </w:rPr>
        <w:t xml:space="preserve"> by means of delta-self-consistent-field (∆SCF) density functional theory calculations [5,6]. Starting from the ground-state MoSe</w:t>
      </w:r>
      <w:r w:rsidRPr="00166277">
        <w:rPr>
          <w:color w:val="1A1718"/>
          <w:sz w:val="24"/>
          <w:szCs w:val="24"/>
          <w:vertAlign w:val="subscript"/>
        </w:rPr>
        <w:t>2</w:t>
      </w:r>
      <w:r w:rsidRPr="00166277">
        <w:rPr>
          <w:color w:val="1A1718"/>
          <w:sz w:val="24"/>
          <w:szCs w:val="24"/>
        </w:rPr>
        <w:t xml:space="preserve"> with various defects, we explicitly minimize the geometry of its excited states at defects, thus explicitly treating the nonradiative decay through multi-phonon emission processes.</w:t>
      </w:r>
      <w:r w:rsidRPr="00166277">
        <w:rPr>
          <w:color w:val="1A1718"/>
          <w:sz w:val="24"/>
          <w:szCs w:val="24"/>
          <w:vertAlign w:val="subscript"/>
        </w:rPr>
        <w:t xml:space="preserve"> </w:t>
      </w:r>
      <w:r w:rsidRPr="00166277">
        <w:rPr>
          <w:color w:val="1A1718"/>
          <w:sz w:val="24"/>
          <w:szCs w:val="24"/>
        </w:rPr>
        <w:t xml:space="preserve">Comparing our computational results with pump-probe measurement data, we conclude that the exciton trapping at a Se vacancy adsorbed by an oxygen molecule is a dominant photocarrier capture mechanism. </w:t>
      </w:r>
    </w:p>
    <w:p w14:paraId="5DAAF8DD" w14:textId="77777777" w:rsidR="00166277" w:rsidRPr="00166277" w:rsidRDefault="00166277" w:rsidP="00166277">
      <w:pPr>
        <w:rPr>
          <w:color w:val="000000"/>
          <w:sz w:val="24"/>
          <w:szCs w:val="24"/>
        </w:rPr>
      </w:pPr>
      <w:r w:rsidRPr="00166277">
        <w:rPr>
          <w:rFonts w:eastAsia="Times New Roman"/>
          <w:color w:val="000000"/>
          <w:sz w:val="24"/>
          <w:szCs w:val="24"/>
        </w:rPr>
        <w:t>[1]</w:t>
      </w:r>
      <w:r w:rsidRPr="00166277">
        <w:rPr>
          <w:sz w:val="24"/>
          <w:szCs w:val="24"/>
        </w:rPr>
        <w:t xml:space="preserve"> </w:t>
      </w:r>
      <w:r w:rsidRPr="00166277">
        <w:rPr>
          <w:color w:val="000000"/>
          <w:sz w:val="24"/>
          <w:szCs w:val="24"/>
        </w:rPr>
        <w:t xml:space="preserve">S. Shree, </w:t>
      </w:r>
      <w:r w:rsidRPr="00166277">
        <w:rPr>
          <w:i/>
          <w:color w:val="000000"/>
          <w:sz w:val="24"/>
          <w:szCs w:val="24"/>
        </w:rPr>
        <w:t>et al</w:t>
      </w:r>
      <w:r w:rsidRPr="00166277">
        <w:rPr>
          <w:color w:val="000000"/>
          <w:sz w:val="24"/>
          <w:szCs w:val="24"/>
        </w:rPr>
        <w:t>. Phys. Rev. B </w:t>
      </w:r>
      <w:r w:rsidRPr="00166277">
        <w:rPr>
          <w:rStyle w:val="ac"/>
          <w:color w:val="000000"/>
          <w:sz w:val="24"/>
          <w:szCs w:val="24"/>
          <w:bdr w:val="none" w:sz="0" w:space="0" w:color="auto" w:frame="1"/>
        </w:rPr>
        <w:t>98</w:t>
      </w:r>
      <w:r w:rsidRPr="00166277">
        <w:rPr>
          <w:color w:val="000000"/>
          <w:sz w:val="24"/>
          <w:szCs w:val="24"/>
        </w:rPr>
        <w:t>, 035302 (2018).</w:t>
      </w:r>
    </w:p>
    <w:p w14:paraId="031A1333" w14:textId="77777777" w:rsidR="00166277" w:rsidRPr="00166277" w:rsidRDefault="00166277" w:rsidP="00166277">
      <w:pPr>
        <w:rPr>
          <w:color w:val="000000"/>
          <w:sz w:val="24"/>
          <w:szCs w:val="24"/>
        </w:rPr>
      </w:pPr>
      <w:r w:rsidRPr="00166277">
        <w:rPr>
          <w:sz w:val="24"/>
          <w:szCs w:val="24"/>
          <w:lang w:eastAsia="ko-KR"/>
        </w:rPr>
        <w:t xml:space="preserve">[2] </w:t>
      </w:r>
      <w:r w:rsidRPr="00166277">
        <w:rPr>
          <w:color w:val="000000"/>
          <w:sz w:val="24"/>
          <w:szCs w:val="24"/>
        </w:rPr>
        <w:t xml:space="preserve">C.M. Chow, </w:t>
      </w:r>
      <w:r w:rsidRPr="00166277">
        <w:rPr>
          <w:i/>
          <w:color w:val="000000"/>
          <w:sz w:val="24"/>
          <w:szCs w:val="24"/>
        </w:rPr>
        <w:t>et al</w:t>
      </w:r>
      <w:r w:rsidRPr="00166277">
        <w:rPr>
          <w:color w:val="000000"/>
          <w:sz w:val="24"/>
          <w:szCs w:val="24"/>
        </w:rPr>
        <w:t xml:space="preserve">. npj 2D Mater. Appl. </w:t>
      </w:r>
      <w:r w:rsidRPr="00166277">
        <w:rPr>
          <w:rStyle w:val="ac"/>
          <w:color w:val="000000"/>
          <w:sz w:val="24"/>
          <w:szCs w:val="24"/>
          <w:bdr w:val="none" w:sz="0" w:space="0" w:color="auto" w:frame="1"/>
        </w:rPr>
        <w:t>1</w:t>
      </w:r>
      <w:r w:rsidRPr="00166277">
        <w:rPr>
          <w:color w:val="000000"/>
          <w:sz w:val="24"/>
          <w:szCs w:val="24"/>
        </w:rPr>
        <w:t>, 33 (2017).</w:t>
      </w:r>
    </w:p>
    <w:p w14:paraId="1A5F47FF" w14:textId="77777777" w:rsidR="00166277" w:rsidRPr="00166277" w:rsidRDefault="00166277" w:rsidP="00166277">
      <w:pPr>
        <w:rPr>
          <w:color w:val="000000"/>
          <w:sz w:val="24"/>
          <w:szCs w:val="24"/>
        </w:rPr>
      </w:pPr>
      <w:r w:rsidRPr="00166277">
        <w:rPr>
          <w:color w:val="000000"/>
          <w:sz w:val="24"/>
          <w:szCs w:val="24"/>
        </w:rPr>
        <w:t xml:space="preserve">[3] K. Chen, </w:t>
      </w:r>
      <w:r w:rsidRPr="00166277">
        <w:rPr>
          <w:i/>
          <w:color w:val="000000"/>
          <w:sz w:val="24"/>
          <w:szCs w:val="24"/>
        </w:rPr>
        <w:t>et al</w:t>
      </w:r>
      <w:r w:rsidRPr="00166277">
        <w:rPr>
          <w:color w:val="000000"/>
          <w:sz w:val="24"/>
          <w:szCs w:val="24"/>
        </w:rPr>
        <w:t xml:space="preserve">. Adva. Mater. </w:t>
      </w:r>
      <w:r w:rsidRPr="00166277">
        <w:rPr>
          <w:b/>
          <w:color w:val="000000"/>
          <w:sz w:val="24"/>
          <w:szCs w:val="24"/>
        </w:rPr>
        <w:t>28</w:t>
      </w:r>
      <w:r w:rsidRPr="00166277">
        <w:rPr>
          <w:color w:val="000000"/>
          <w:sz w:val="24"/>
          <w:szCs w:val="24"/>
        </w:rPr>
        <w:t>, 5293 (2016).</w:t>
      </w:r>
    </w:p>
    <w:p w14:paraId="5459CB84" w14:textId="77777777" w:rsidR="00166277" w:rsidRPr="00166277" w:rsidRDefault="00166277" w:rsidP="00166277">
      <w:pPr>
        <w:rPr>
          <w:color w:val="000000"/>
          <w:sz w:val="24"/>
          <w:szCs w:val="24"/>
          <w:lang w:eastAsia="ko-KR"/>
        </w:rPr>
      </w:pPr>
      <w:r w:rsidRPr="00166277">
        <w:rPr>
          <w:color w:val="000000"/>
          <w:sz w:val="24"/>
          <w:szCs w:val="24"/>
        </w:rPr>
        <w:t xml:space="preserve">[4] H. Chuan, </w:t>
      </w:r>
      <w:r w:rsidRPr="00166277">
        <w:rPr>
          <w:i/>
          <w:color w:val="000000"/>
          <w:sz w:val="24"/>
          <w:szCs w:val="24"/>
        </w:rPr>
        <w:t>et al</w:t>
      </w:r>
      <w:r w:rsidRPr="00166277">
        <w:rPr>
          <w:color w:val="000000"/>
          <w:sz w:val="24"/>
          <w:szCs w:val="24"/>
        </w:rPr>
        <w:t xml:space="preserve">. ACS Appl. Mater. Interfaces </w:t>
      </w:r>
      <w:r w:rsidRPr="00166277">
        <w:rPr>
          <w:b/>
          <w:color w:val="000000"/>
          <w:sz w:val="24"/>
          <w:szCs w:val="24"/>
        </w:rPr>
        <w:t>10</w:t>
      </w:r>
      <w:r w:rsidRPr="00166277">
        <w:rPr>
          <w:color w:val="000000"/>
          <w:sz w:val="24"/>
          <w:szCs w:val="24"/>
        </w:rPr>
        <w:t>, 1125-1131 (2018)</w:t>
      </w:r>
    </w:p>
    <w:p w14:paraId="13E17B8B" w14:textId="77777777" w:rsidR="00166277" w:rsidRPr="00166277" w:rsidRDefault="00166277" w:rsidP="00166277">
      <w:pPr>
        <w:rPr>
          <w:color w:val="000000"/>
          <w:sz w:val="24"/>
          <w:szCs w:val="24"/>
        </w:rPr>
      </w:pPr>
      <w:r w:rsidRPr="00166277">
        <w:rPr>
          <w:color w:val="000000"/>
          <w:sz w:val="24"/>
          <w:szCs w:val="24"/>
        </w:rPr>
        <w:t xml:space="preserve">[5] A. Gail, </w:t>
      </w:r>
      <w:r w:rsidRPr="00166277">
        <w:rPr>
          <w:i/>
          <w:color w:val="000000"/>
          <w:sz w:val="24"/>
          <w:szCs w:val="24"/>
        </w:rPr>
        <w:t>et al</w:t>
      </w:r>
      <w:r w:rsidRPr="00166277">
        <w:rPr>
          <w:color w:val="000000"/>
          <w:sz w:val="24"/>
          <w:szCs w:val="24"/>
        </w:rPr>
        <w:t>. Phys. Rev. B </w:t>
      </w:r>
      <w:r w:rsidRPr="00166277">
        <w:rPr>
          <w:rStyle w:val="ac"/>
          <w:color w:val="000000"/>
          <w:sz w:val="24"/>
          <w:szCs w:val="24"/>
          <w:bdr w:val="none" w:sz="0" w:space="0" w:color="auto" w:frame="1"/>
        </w:rPr>
        <w:t>80</w:t>
      </w:r>
      <w:r w:rsidRPr="00166277">
        <w:rPr>
          <w:color w:val="000000"/>
          <w:sz w:val="24"/>
          <w:szCs w:val="24"/>
        </w:rPr>
        <w:t>, 241204 (2009).</w:t>
      </w:r>
    </w:p>
    <w:p w14:paraId="4C4D4F40" w14:textId="77777777" w:rsidR="00166277" w:rsidRPr="00166277" w:rsidRDefault="00166277" w:rsidP="00166277">
      <w:pPr>
        <w:rPr>
          <w:sz w:val="24"/>
          <w:szCs w:val="24"/>
        </w:rPr>
      </w:pPr>
      <w:r w:rsidRPr="00166277">
        <w:rPr>
          <w:rFonts w:eastAsia="Times New Roman"/>
          <w:color w:val="000000"/>
          <w:sz w:val="24"/>
          <w:szCs w:val="24"/>
        </w:rPr>
        <w:t>[6]</w:t>
      </w:r>
      <w:r w:rsidRPr="00166277">
        <w:rPr>
          <w:sz w:val="24"/>
          <w:szCs w:val="24"/>
        </w:rPr>
        <w:t xml:space="preserve"> </w:t>
      </w:r>
      <w:r w:rsidRPr="00166277">
        <w:rPr>
          <w:rFonts w:eastAsia="Times New Roman"/>
          <w:color w:val="000000"/>
          <w:sz w:val="24"/>
          <w:szCs w:val="24"/>
        </w:rPr>
        <w:t xml:space="preserve">A. Alkauskas, </w:t>
      </w:r>
      <w:r w:rsidRPr="00166277">
        <w:rPr>
          <w:i/>
          <w:color w:val="000000"/>
          <w:sz w:val="24"/>
          <w:szCs w:val="24"/>
        </w:rPr>
        <w:t>et al</w:t>
      </w:r>
      <w:r w:rsidRPr="00166277">
        <w:rPr>
          <w:color w:val="000000"/>
          <w:sz w:val="24"/>
          <w:szCs w:val="24"/>
        </w:rPr>
        <w:t xml:space="preserve">. </w:t>
      </w:r>
      <w:r w:rsidRPr="00166277">
        <w:rPr>
          <w:rFonts w:eastAsia="Times New Roman"/>
          <w:color w:val="000000"/>
          <w:sz w:val="24"/>
          <w:szCs w:val="24"/>
        </w:rPr>
        <w:t xml:space="preserve">J. Appl. Phys. </w:t>
      </w:r>
      <w:r w:rsidRPr="00166277">
        <w:rPr>
          <w:rFonts w:eastAsia="Times New Roman"/>
          <w:b/>
          <w:color w:val="000000"/>
          <w:sz w:val="24"/>
          <w:szCs w:val="24"/>
        </w:rPr>
        <w:t>119</w:t>
      </w:r>
      <w:r w:rsidRPr="00166277">
        <w:rPr>
          <w:rFonts w:eastAsia="Times New Roman"/>
          <w:color w:val="000000"/>
          <w:sz w:val="24"/>
          <w:szCs w:val="24"/>
        </w:rPr>
        <w:t>, 18 (2016).</w:t>
      </w:r>
    </w:p>
    <w:p w14:paraId="4CE6163A" w14:textId="77777777" w:rsidR="00166277" w:rsidRDefault="00166277"/>
    <w:sectPr w:rsidR="00166277" w:rsidSect="006F5984">
      <w:headerReference w:type="even" r:id="rId8"/>
      <w:headerReference w:type="default" r:id="rId9"/>
      <w:footerReference w:type="even" r:id="rId10"/>
      <w:footerReference w:type="default" r:id="rId11"/>
      <w:headerReference w:type="first" r:id="rId12"/>
      <w:footerReference w:type="first" r:id="rId13"/>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39291" w14:textId="77777777" w:rsidR="00200B71" w:rsidRDefault="00200B71">
      <w:r>
        <w:separator/>
      </w:r>
    </w:p>
  </w:endnote>
  <w:endnote w:type="continuationSeparator" w:id="0">
    <w:p w14:paraId="74F48C71" w14:textId="77777777" w:rsidR="00200B71" w:rsidRDefault="0020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panose1 w:val="02020609040205080304"/>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roman"/>
    <w:pitch w:val="variable"/>
    <w:sig w:usb0="00000003" w:usb1="00000000" w:usb2="00000000" w:usb3="00000000" w:csb0="00000001" w:csb1="00000000"/>
  </w:font>
  <w:font w:name="바탕">
    <w:panose1 w:val="00000000000000000000"/>
    <w:charset w:val="81"/>
    <w:family w:val="auto"/>
    <w:notTrueType/>
    <w:pitch w:val="fixed"/>
    <w:sig w:usb0="00000001" w:usb1="09060000" w:usb2="00000010" w:usb3="00000000" w:csb0="00080000" w:csb1="00000000"/>
  </w:font>
  <w:font w:name="맑은 고딕">
    <w:charset w:val="81"/>
    <w:family w:val="auto"/>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26E8" w14:textId="77777777" w:rsidR="00461ACD" w:rsidRDefault="00461ACD">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3BC8" w14:textId="77777777" w:rsidR="006F5984" w:rsidRDefault="006F5984">
    <w:pPr>
      <w:widowControl w:val="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9A1C" w14:textId="77777777" w:rsidR="00461ACD" w:rsidRDefault="00461AC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8FA36" w14:textId="77777777" w:rsidR="00200B71" w:rsidRDefault="00200B71">
      <w:r>
        <w:separator/>
      </w:r>
    </w:p>
  </w:footnote>
  <w:footnote w:type="continuationSeparator" w:id="0">
    <w:p w14:paraId="331B46E7" w14:textId="77777777" w:rsidR="00200B71" w:rsidRDefault="00200B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82DE" w14:textId="77777777" w:rsidR="00461ACD" w:rsidRDefault="00461ACD">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BE0A" w14:textId="77777777" w:rsidR="00461ACD" w:rsidRDefault="00461ACD" w:rsidP="00461ACD">
    <w:pPr>
      <w:pStyle w:val="a5"/>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A47F" w14:textId="77777777" w:rsidR="00461ACD" w:rsidRDefault="00461ACD">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536B1"/>
    <w:rsid w:val="000810B3"/>
    <w:rsid w:val="00166277"/>
    <w:rsid w:val="001B1483"/>
    <w:rsid w:val="001C185F"/>
    <w:rsid w:val="001C6173"/>
    <w:rsid w:val="00200B71"/>
    <w:rsid w:val="0024600D"/>
    <w:rsid w:val="00255054"/>
    <w:rsid w:val="0027021A"/>
    <w:rsid w:val="0031101C"/>
    <w:rsid w:val="003A5E28"/>
    <w:rsid w:val="00413329"/>
    <w:rsid w:val="00461ACD"/>
    <w:rsid w:val="00487B7B"/>
    <w:rsid w:val="00506870"/>
    <w:rsid w:val="00615ADD"/>
    <w:rsid w:val="00616DD5"/>
    <w:rsid w:val="006726C9"/>
    <w:rsid w:val="006A3327"/>
    <w:rsid w:val="006F5984"/>
    <w:rsid w:val="00701806"/>
    <w:rsid w:val="007F5B4F"/>
    <w:rsid w:val="00834E39"/>
    <w:rsid w:val="0090048D"/>
    <w:rsid w:val="009730D8"/>
    <w:rsid w:val="009F2E77"/>
    <w:rsid w:val="00A04E8A"/>
    <w:rsid w:val="00A402A4"/>
    <w:rsid w:val="00B03727"/>
    <w:rsid w:val="00B571E0"/>
    <w:rsid w:val="00BA6050"/>
    <w:rsid w:val="00C004AC"/>
    <w:rsid w:val="00C16377"/>
    <w:rsid w:val="00C93A9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1C1DCD"/>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吹き出し (文字)"/>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rsid w:val="00461ACD"/>
    <w:rPr>
      <w:rFonts w:ascii="Times New Roman" w:eastAsia="PMingLiU" w:hAnsi="Times New Roman"/>
      <w:noProof/>
      <w:sz w:val="18"/>
      <w:szCs w:val="18"/>
      <w:lang w:eastAsia="en-US"/>
    </w:rPr>
  </w:style>
  <w:style w:type="paragraph" w:styleId="a7">
    <w:name w:val="footer"/>
    <w:basedOn w:val="a"/>
    <w:link w:val="a8"/>
    <w:uiPriority w:val="99"/>
    <w:unhideWhenUsed/>
    <w:rsid w:val="00461ACD"/>
    <w:pPr>
      <w:tabs>
        <w:tab w:val="center" w:pos="4153"/>
        <w:tab w:val="right" w:pos="8306"/>
      </w:tabs>
      <w:snapToGrid w:val="0"/>
      <w:jc w:val="left"/>
    </w:pPr>
    <w:rPr>
      <w:sz w:val="18"/>
      <w:szCs w:val="18"/>
    </w:rPr>
  </w:style>
  <w:style w:type="character" w:customStyle="1" w:styleId="a8">
    <w:name w:val="フッター (文字)"/>
    <w:link w:val="a7"/>
    <w:uiPriority w:val="99"/>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paragraph" w:styleId="ab">
    <w:name w:val="List Paragraph"/>
    <w:basedOn w:val="a"/>
    <w:uiPriority w:val="34"/>
    <w:qFormat/>
    <w:rsid w:val="00166277"/>
    <w:pPr>
      <w:widowControl w:val="0"/>
      <w:autoSpaceDE/>
      <w:autoSpaceDN/>
      <w:adjustRightInd/>
      <w:ind w:leftChars="400" w:left="960"/>
    </w:pPr>
    <w:rPr>
      <w:rFonts w:ascii="Yu Mincho" w:eastAsia="Yu Mincho" w:hAnsi="Yu Mincho"/>
      <w:noProof w:val="0"/>
      <w:kern w:val="2"/>
      <w:sz w:val="24"/>
      <w:szCs w:val="24"/>
      <w:lang w:eastAsia="ja-JP"/>
    </w:rPr>
  </w:style>
  <w:style w:type="paragraph" w:customStyle="1" w:styleId="TAMainText">
    <w:name w:val="TA_Main_Text"/>
    <w:basedOn w:val="a"/>
    <w:uiPriority w:val="99"/>
    <w:rsid w:val="00166277"/>
    <w:pPr>
      <w:autoSpaceDE/>
      <w:autoSpaceDN/>
      <w:adjustRightInd/>
      <w:spacing w:line="480" w:lineRule="auto"/>
      <w:ind w:firstLine="202"/>
    </w:pPr>
    <w:rPr>
      <w:rFonts w:ascii="Times" w:eastAsia="바탕" w:hAnsi="Times"/>
      <w:noProof w:val="0"/>
      <w:sz w:val="24"/>
      <w:szCs w:val="20"/>
    </w:rPr>
  </w:style>
  <w:style w:type="character" w:styleId="ac">
    <w:name w:val="Strong"/>
    <w:uiPriority w:val="22"/>
    <w:qFormat/>
    <w:rsid w:val="00166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ungminbae@kaist.ac.k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Macintosh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Office365</cp:lastModifiedBy>
  <cp:revision>3</cp:revision>
  <cp:lastPrinted>2012-08-01T05:35:00Z</cp:lastPrinted>
  <dcterms:created xsi:type="dcterms:W3CDTF">2018-10-03T14:51:00Z</dcterms:created>
  <dcterms:modified xsi:type="dcterms:W3CDTF">2018-10-03T14:53:00Z</dcterms:modified>
  <cp:category/>
</cp:coreProperties>
</file>